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90" w:rsidRPr="00774890" w:rsidRDefault="00774890" w:rsidP="00774890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74890">
        <w:rPr>
          <w:rFonts w:asciiTheme="minorEastAsia" w:hAnsiTheme="minorEastAsia" w:hint="eastAsia"/>
          <w:b/>
          <w:sz w:val="32"/>
          <w:szCs w:val="32"/>
        </w:rPr>
        <w:t>附件1：2020年武汉大学学生羽毛球比赛竞赛规程</w:t>
      </w: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一、主办单位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武汉大学体育运动委员会</w:t>
      </w: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二、承办单位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武汉大学党委学生工作部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武汉大学共青团委员会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武汉大学体育部</w:t>
      </w: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三、协办单位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武汉大学学生羽毛球协会</w:t>
      </w: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四、比赛时间、地点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2020年12月5日至6日，武汉大学卓尔体育馆</w:t>
      </w:r>
    </w:p>
    <w:p w:rsidR="00774890" w:rsidRPr="00A55560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A55560">
        <w:rPr>
          <w:rFonts w:asciiTheme="minorEastAsia" w:hAnsiTheme="minorEastAsia" w:hint="eastAsia"/>
          <w:b/>
          <w:sz w:val="28"/>
          <w:szCs w:val="28"/>
        </w:rPr>
        <w:t>五、比赛项目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混合团体：混双、男单、双打（双打不限性别）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本科生组：</w:t>
      </w:r>
      <w:r>
        <w:rPr>
          <w:rFonts w:asciiTheme="minorEastAsia" w:hAnsiTheme="minorEastAsia" w:hint="eastAsia"/>
          <w:sz w:val="28"/>
          <w:szCs w:val="28"/>
        </w:rPr>
        <w:t>男单</w:t>
      </w:r>
      <w:r>
        <w:rPr>
          <w:rFonts w:asciiTheme="minorEastAsia" w:hAnsiTheme="minorEastAsia"/>
          <w:sz w:val="28"/>
          <w:szCs w:val="28"/>
        </w:rPr>
        <w:t>、女单、男双、女双、混双</w:t>
      </w:r>
      <w:r w:rsidRPr="00774890">
        <w:rPr>
          <w:rFonts w:asciiTheme="minorEastAsia" w:hAnsiTheme="minorEastAsia" w:hint="eastAsia"/>
          <w:sz w:val="28"/>
          <w:szCs w:val="28"/>
        </w:rPr>
        <w:t>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高水平组：</w:t>
      </w:r>
      <w:r>
        <w:rPr>
          <w:rFonts w:asciiTheme="minorEastAsia" w:hAnsiTheme="minorEastAsia" w:hint="eastAsia"/>
          <w:sz w:val="28"/>
          <w:szCs w:val="28"/>
        </w:rPr>
        <w:t>男单</w:t>
      </w:r>
      <w:r>
        <w:rPr>
          <w:rFonts w:asciiTheme="minorEastAsia" w:hAnsiTheme="minorEastAsia"/>
          <w:sz w:val="28"/>
          <w:szCs w:val="28"/>
        </w:rPr>
        <w:t>、女单、男双、女双、混双</w:t>
      </w:r>
      <w:r w:rsidRPr="00774890">
        <w:rPr>
          <w:rFonts w:asciiTheme="minorEastAsia" w:hAnsiTheme="minorEastAsia" w:hint="eastAsia"/>
          <w:sz w:val="28"/>
          <w:szCs w:val="28"/>
        </w:rPr>
        <w:t>。</w:t>
      </w:r>
    </w:p>
    <w:p w:rsid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研究生组：</w:t>
      </w:r>
      <w:r>
        <w:rPr>
          <w:rFonts w:asciiTheme="minorEastAsia" w:hAnsiTheme="minorEastAsia" w:hint="eastAsia"/>
          <w:sz w:val="28"/>
          <w:szCs w:val="28"/>
        </w:rPr>
        <w:t>男单</w:t>
      </w:r>
      <w:r>
        <w:rPr>
          <w:rFonts w:asciiTheme="minorEastAsia" w:hAnsiTheme="minorEastAsia"/>
          <w:sz w:val="28"/>
          <w:szCs w:val="28"/>
        </w:rPr>
        <w:t>、女单、男双、女双、混双</w:t>
      </w:r>
      <w:r w:rsidRPr="00774890">
        <w:rPr>
          <w:rFonts w:asciiTheme="minorEastAsia" w:hAnsiTheme="minorEastAsia" w:hint="eastAsia"/>
          <w:sz w:val="28"/>
          <w:szCs w:val="28"/>
        </w:rPr>
        <w:t>。</w:t>
      </w:r>
    </w:p>
    <w:p w:rsidR="00774890" w:rsidRPr="00256468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256468">
        <w:rPr>
          <w:rFonts w:asciiTheme="minorEastAsia" w:hAnsiTheme="minorEastAsia" w:hint="eastAsia"/>
          <w:b/>
          <w:sz w:val="28"/>
          <w:szCs w:val="28"/>
        </w:rPr>
        <w:t>六、参赛资格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参赛运动员必须是身体健康，经武汉大学录取的全日制在籍本科生、研究生（港澳台籍学生及留学生只能代表本院参赛）。网络生、成教生、进修生、独立学院学生、各种研究生班（包括单证）、在职研究生学员等不参加本次比赛。</w:t>
      </w:r>
    </w:p>
    <w:p w:rsidR="00774890" w:rsidRPr="00256468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256468">
        <w:rPr>
          <w:rFonts w:asciiTheme="minorEastAsia" w:hAnsiTheme="minorEastAsia" w:hint="eastAsia"/>
          <w:b/>
          <w:sz w:val="28"/>
          <w:szCs w:val="28"/>
        </w:rPr>
        <w:t>七、参赛办法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1、以院（系）为单位组队报名参加比赛，每名学生只能代表本学院（系）参加所有项目的比赛（羽毛球特长生除外）。办理了转专业，但在2020年12月2日前没有正式落实的，必须代表原学院参加比赛。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每单位限报领队1人，教练员2人，联系人1人。其中，领队必须是院（系）主管学生工作书记或辅导员，联系人电话必须保持畅通，</w:t>
      </w:r>
      <w:r w:rsidRPr="00774890">
        <w:rPr>
          <w:rFonts w:asciiTheme="minorEastAsia" w:hAnsiTheme="minorEastAsia" w:hint="eastAsia"/>
          <w:sz w:val="28"/>
          <w:szCs w:val="28"/>
        </w:rPr>
        <w:lastRenderedPageBreak/>
        <w:t>且必须保证比赛期间在</w:t>
      </w:r>
      <w:r>
        <w:rPr>
          <w:rFonts w:asciiTheme="minorEastAsia" w:hAnsiTheme="minorEastAsia" w:hint="eastAsia"/>
          <w:sz w:val="28"/>
          <w:szCs w:val="28"/>
        </w:rPr>
        <w:t>比赛</w:t>
      </w:r>
      <w:r w:rsidRPr="00774890">
        <w:rPr>
          <w:rFonts w:asciiTheme="minorEastAsia" w:hAnsiTheme="minorEastAsia" w:hint="eastAsia"/>
          <w:sz w:val="28"/>
          <w:szCs w:val="28"/>
        </w:rPr>
        <w:t>场馆能联系上。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2、团体赛：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每个院（系）限报1个队，可由本科生和研究生组成，每队最多报8人参加团体赛，其中至少报女运动员1人。羽毛球高水平运动员不参加团体赛。（参加团体赛的运动员，可兼报一项单项比赛）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3、单项赛：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本科生组和研究生组，都以院（系）为单位报名参加比赛，每个学院每个项目限报至多男子单打2名、女子单打2名；男子双打2对、女子双打1对；混合双打2对。每位运动员最多只能参加1个项目比赛，不允许兼项。本科生组和研究生组不能跨组报名。</w:t>
      </w:r>
    </w:p>
    <w:p w:rsidR="00774890" w:rsidRPr="00256468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256468">
        <w:rPr>
          <w:rFonts w:asciiTheme="minorEastAsia" w:hAnsiTheme="minorEastAsia" w:hint="eastAsia"/>
          <w:b/>
          <w:sz w:val="28"/>
          <w:szCs w:val="28"/>
        </w:rPr>
        <w:t>八、竞赛办法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1、团体赛：根据报名情况，比赛分两个阶段进行，第一阶段采用分组循环赛，第二阶段采用淘汰及附加赛，决出前八名。每次团体赛采用</w:t>
      </w:r>
      <w:r w:rsidR="00274CD0">
        <w:rPr>
          <w:rFonts w:asciiTheme="minorEastAsia" w:hAnsiTheme="minorEastAsia" w:hint="eastAsia"/>
          <w:sz w:val="28"/>
          <w:szCs w:val="28"/>
        </w:rPr>
        <w:t>三</w:t>
      </w:r>
      <w:r w:rsidRPr="00774890">
        <w:rPr>
          <w:rFonts w:asciiTheme="minorEastAsia" w:hAnsiTheme="minorEastAsia" w:hint="eastAsia"/>
          <w:sz w:val="28"/>
          <w:szCs w:val="28"/>
        </w:rPr>
        <w:t>场</w:t>
      </w:r>
      <w:r w:rsidR="00274CD0">
        <w:rPr>
          <w:rFonts w:asciiTheme="minorEastAsia" w:hAnsiTheme="minorEastAsia" w:hint="eastAsia"/>
          <w:sz w:val="28"/>
          <w:szCs w:val="28"/>
        </w:rPr>
        <w:t>二</w:t>
      </w:r>
      <w:r w:rsidRPr="00774890">
        <w:rPr>
          <w:rFonts w:asciiTheme="minorEastAsia" w:hAnsiTheme="minorEastAsia" w:hint="eastAsia"/>
          <w:sz w:val="28"/>
          <w:szCs w:val="28"/>
        </w:rPr>
        <w:t>胜制，第一阶段循环赛打满</w:t>
      </w:r>
      <w:r w:rsidR="00274CD0">
        <w:rPr>
          <w:rFonts w:asciiTheme="minorEastAsia" w:hAnsiTheme="minorEastAsia" w:hint="eastAsia"/>
          <w:sz w:val="28"/>
          <w:szCs w:val="28"/>
        </w:rPr>
        <w:t>三</w:t>
      </w:r>
      <w:bookmarkStart w:id="0" w:name="_GoBack"/>
      <w:bookmarkEnd w:id="0"/>
      <w:r w:rsidRPr="00774890">
        <w:rPr>
          <w:rFonts w:asciiTheme="minorEastAsia" w:hAnsiTheme="minorEastAsia" w:hint="eastAsia"/>
          <w:sz w:val="28"/>
          <w:szCs w:val="28"/>
        </w:rPr>
        <w:t>场，第二阶段淘汰赛一方获胜二场，比赛结束。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每次团体赛出场顺序为第一混双、男子单打、双打，运动员不允许兼项。每场比赛采用21分每球得分制，最高得分21分，一局定胜负。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2、单项赛：每场比赛采用21分每球得分制，一局定胜负。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3、比赛执行中国羽毛球协会审定的最新《羽毛球竞赛规则》。</w:t>
      </w:r>
    </w:p>
    <w:p w:rsidR="00774890" w:rsidRPr="00256468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256468">
        <w:rPr>
          <w:rFonts w:asciiTheme="minorEastAsia" w:hAnsiTheme="minorEastAsia" w:hint="eastAsia"/>
          <w:b/>
          <w:sz w:val="28"/>
          <w:szCs w:val="28"/>
        </w:rPr>
        <w:t>九、录取名次及奖励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团体赛录取前八名，前三名颁发奖牌和证书，其余名次颁发证书。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单项赛录取前八名，前三名颁发奖牌和证书，其余名次颁发证书。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设“体育道德风尚奖”，评选3个单位，纳入年底体育先进单位评选条件。具体参照武汉大学生羽毛球赛“体育道德风尚奖”评选办法。</w:t>
      </w:r>
    </w:p>
    <w:p w:rsidR="00774890" w:rsidRPr="00256468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256468">
        <w:rPr>
          <w:rFonts w:asciiTheme="minorEastAsia" w:hAnsiTheme="minorEastAsia" w:hint="eastAsia"/>
          <w:b/>
          <w:sz w:val="28"/>
          <w:szCs w:val="28"/>
        </w:rPr>
        <w:t>十、报名办法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1、网上报名网址：</w:t>
      </w:r>
      <w:r w:rsidR="0044356D" w:rsidRPr="0044356D">
        <w:rPr>
          <w:rFonts w:asciiTheme="minorEastAsia" w:hAnsiTheme="minorEastAsia"/>
          <w:sz w:val="28"/>
          <w:szCs w:val="28"/>
        </w:rPr>
        <w:t>https://pk.dayujiaolian.com/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2、填写纸质版报名表。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下载地址：【http://tyb.whu.edu.cn/index/tzgg.htm】。纸质版</w:t>
      </w:r>
      <w:r w:rsidRPr="00774890">
        <w:rPr>
          <w:rFonts w:asciiTheme="minorEastAsia" w:hAnsiTheme="minorEastAsia" w:hint="eastAsia"/>
          <w:sz w:val="28"/>
          <w:szCs w:val="28"/>
        </w:rPr>
        <w:lastRenderedPageBreak/>
        <w:t>报名表须与网上报名一致，且必须加盖院系公章，须有院系分管学生工作书记签名，送交体育部办公室徐老师。（两项同时具备才允许报名）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报名截止时间：2020年11月27日下午12:00。以网上报名为准。联系人：李季瑶18172127856</w:t>
      </w:r>
      <w:r>
        <w:rPr>
          <w:rFonts w:asciiTheme="minorEastAsia" w:hAnsiTheme="minorEastAsia" w:hint="eastAsia"/>
          <w:sz w:val="28"/>
          <w:szCs w:val="28"/>
        </w:rPr>
        <w:t>；</w:t>
      </w:r>
      <w:r w:rsidRPr="00774890">
        <w:rPr>
          <w:rFonts w:asciiTheme="minorEastAsia" w:hAnsiTheme="minorEastAsia" w:hint="eastAsia"/>
          <w:sz w:val="28"/>
          <w:szCs w:val="28"/>
        </w:rPr>
        <w:t>网报咨询联系人：厉剑15827634361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2020年11月27日中午12:00，在风雨操场会议室召开各院系体育部长会议，请准时参加。</w:t>
      </w:r>
    </w:p>
    <w:p w:rsidR="00774890" w:rsidRPr="00256468" w:rsidRDefault="00774890" w:rsidP="0077489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256468">
        <w:rPr>
          <w:rFonts w:asciiTheme="minorEastAsia" w:hAnsiTheme="minorEastAsia" w:hint="eastAsia"/>
          <w:b/>
          <w:sz w:val="28"/>
          <w:szCs w:val="28"/>
        </w:rPr>
        <w:t>十一、本规程解释权属武汉大学体育部，未尽事宜，另行通知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 w:rsidRPr="00774890">
        <w:rPr>
          <w:rFonts w:asciiTheme="minorEastAsia" w:hAnsiTheme="minorEastAsia" w:hint="eastAsia"/>
          <w:sz w:val="32"/>
          <w:szCs w:val="32"/>
        </w:rPr>
        <w:lastRenderedPageBreak/>
        <w:t>武汉大学学生羽毛球比赛“体育道德风尚奖”评选办法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一、体育道德风尚队评选条件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（一）赛场风尚：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1、运动员积极参加比赛，不无故弃权。报名后，无故弃权，取消评奖资格。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2、比赛过程中运动员团结互助，顽强拼搏；友谊第一、比赛第二；赛出风格、赛出水平，表现出良好的体育道德风尚。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3、运动员严格遵守比赛规程，坚决服从裁判。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4、准时参加开、闭幕式，秩序良好。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（二）赛场观众：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1、观众队伍有组织、守秩序。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2、啦啦队讲文明、讲礼貌，自始至终情绪高昂。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3、赛场宣传有特色，能反映出本院或系的良好精神风貌。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（三）组织领导：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单位领导重视，主要负责人亲自到场。</w:t>
      </w: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774890" w:rsidRPr="00774890" w:rsidRDefault="00774890" w:rsidP="0077489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二、评选办法</w:t>
      </w:r>
    </w:p>
    <w:p w:rsidR="00774890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1、每个代表队推荐3个参赛单位。</w:t>
      </w:r>
    </w:p>
    <w:p w:rsidR="004B7C4B" w:rsidRPr="00774890" w:rsidRDefault="00774890" w:rsidP="0077489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74890">
        <w:rPr>
          <w:rFonts w:asciiTheme="minorEastAsia" w:hAnsiTheme="minorEastAsia" w:hint="eastAsia"/>
          <w:sz w:val="28"/>
          <w:szCs w:val="28"/>
        </w:rPr>
        <w:t>2、仲裁委员会和裁判组负责人组成评选小组表决。</w:t>
      </w:r>
    </w:p>
    <w:sectPr w:rsidR="004B7C4B" w:rsidRPr="00774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3E" w:rsidRDefault="001B113E" w:rsidP="0044356D">
      <w:r>
        <w:separator/>
      </w:r>
    </w:p>
  </w:endnote>
  <w:endnote w:type="continuationSeparator" w:id="0">
    <w:p w:rsidR="001B113E" w:rsidRDefault="001B113E" w:rsidP="0044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3E" w:rsidRDefault="001B113E" w:rsidP="0044356D">
      <w:r>
        <w:separator/>
      </w:r>
    </w:p>
  </w:footnote>
  <w:footnote w:type="continuationSeparator" w:id="0">
    <w:p w:rsidR="001B113E" w:rsidRDefault="001B113E" w:rsidP="0044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0"/>
    <w:rsid w:val="001B113E"/>
    <w:rsid w:val="00256468"/>
    <w:rsid w:val="00274CD0"/>
    <w:rsid w:val="00291F70"/>
    <w:rsid w:val="0044356D"/>
    <w:rsid w:val="004B7C4B"/>
    <w:rsid w:val="00774890"/>
    <w:rsid w:val="00A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19533-E9BD-4311-8F0A-89D02348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261</Words>
  <Characters>1493</Characters>
  <Application>Microsoft Office Word</Application>
  <DocSecurity>0</DocSecurity>
  <Lines>12</Lines>
  <Paragraphs>3</Paragraphs>
  <ScaleCrop>false</ScaleCrop>
  <Company>Micorosoft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5</cp:revision>
  <dcterms:created xsi:type="dcterms:W3CDTF">2020-10-27T01:10:00Z</dcterms:created>
  <dcterms:modified xsi:type="dcterms:W3CDTF">2020-11-03T07:37:00Z</dcterms:modified>
</cp:coreProperties>
</file>